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C220" w14:textId="401B4BA0" w:rsidR="0072048B" w:rsidRDefault="00E03C00" w:rsidP="00567257">
      <w:pPr>
        <w:spacing w:after="0" w:line="240" w:lineRule="auto"/>
        <w:jc w:val="center"/>
        <w:rPr>
          <w:rFonts w:ascii="Times New Roman" w:hAnsi="Times New Roman" w:cs="Times New Roman"/>
          <w:b/>
          <w:smallCaps/>
          <w:sz w:val="36"/>
          <w:szCs w:val="36"/>
          <w:u w:val="single"/>
        </w:rPr>
      </w:pPr>
      <w:bookmarkStart w:id="0" w:name="_GoBack"/>
      <w:bookmarkEnd w:id="0"/>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p>
    <w:p w14:paraId="1D6233DD" w14:textId="77777777" w:rsidR="00CD0DF5" w:rsidRDefault="00CD0DF5" w:rsidP="00CD0DF5">
      <w:pPr>
        <w:spacing w:after="0" w:line="240" w:lineRule="auto"/>
        <w:rPr>
          <w:rFonts w:ascii="Times New Roman" w:hAnsi="Times New Roman" w:cs="Times New Roman"/>
          <w:b/>
          <w:smallCaps/>
          <w:sz w:val="24"/>
          <w:szCs w:val="24"/>
          <w:u w:val="single"/>
        </w:rPr>
      </w:pPr>
    </w:p>
    <w:p w14:paraId="6000C221" w14:textId="36E22996" w:rsidR="00850120" w:rsidRPr="00567257" w:rsidRDefault="009249FA" w:rsidP="00567257">
      <w:pPr>
        <w:spacing w:after="0" w:line="240" w:lineRule="auto"/>
        <w:jc w:val="center"/>
        <w:rPr>
          <w:rFonts w:ascii="Times New Roman" w:hAnsi="Times New Roman" w:cs="Times New Roman"/>
          <w:b/>
          <w:smallCaps/>
          <w:sz w:val="24"/>
          <w:szCs w:val="24"/>
        </w:rPr>
      </w:pPr>
      <w:r w:rsidRPr="00567257">
        <w:rPr>
          <w:rFonts w:ascii="Times New Roman" w:hAnsi="Times New Roman" w:cs="Times New Roman"/>
          <w:b/>
          <w:smallCaps/>
          <w:sz w:val="24"/>
          <w:szCs w:val="24"/>
        </w:rPr>
        <w:t>Key Action 1</w:t>
      </w:r>
      <w:r w:rsidR="00850120" w:rsidRPr="00567257">
        <w:rPr>
          <w:rFonts w:ascii="Times New Roman" w:hAnsi="Times New Roman" w:cs="Times New Roman"/>
          <w:b/>
          <w:smallCaps/>
          <w:sz w:val="24"/>
          <w:szCs w:val="24"/>
        </w:rPr>
        <w:t xml:space="preserve"> – </w:t>
      </w:r>
      <w:r w:rsidR="00A22E46" w:rsidRPr="00567257">
        <w:rPr>
          <w:rFonts w:ascii="Times New Roman" w:hAnsi="Times New Roman" w:cs="Times New Roman"/>
          <w:b/>
          <w:smallCaps/>
          <w:sz w:val="24"/>
          <w:szCs w:val="24"/>
        </w:rPr>
        <w:t xml:space="preserve">YOUTH </w:t>
      </w:r>
      <w:r w:rsidR="00481E00" w:rsidRPr="00567257">
        <w:rPr>
          <w:rFonts w:ascii="Times New Roman" w:hAnsi="Times New Roman" w:cs="Times New Roman"/>
          <w:b/>
          <w:smallCaps/>
          <w:sz w:val="24"/>
          <w:szCs w:val="24"/>
        </w:rPr>
        <w:t>WORKERS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385D426A" w:rsidR="001B35B7" w:rsidRPr="00A62DD7" w:rsidRDefault="001B35B7" w:rsidP="0081587F">
      <w:pPr>
        <w:pStyle w:val="ListParagraph"/>
        <w:tabs>
          <w:tab w:val="left" w:pos="851"/>
        </w:tabs>
        <w:suppressAutoHyphens/>
        <w:ind w:left="0"/>
        <w:jc w:val="both"/>
        <w:rPr>
          <w:rFonts w:ascii="Times New Roman" w:hAnsi="Times New Roman"/>
          <w:b/>
          <w:sz w:val="24"/>
          <w:lang w:val="en-US"/>
        </w:rPr>
      </w:pPr>
      <w:r w:rsidRPr="00A62DD7">
        <w:rPr>
          <w:rFonts w:ascii="Times New Roman" w:hAnsi="Times New Roman" w:cs="Times New Roman"/>
          <w:b/>
          <w:sz w:val="24"/>
        </w:rPr>
        <w:t>1. Travel</w:t>
      </w:r>
      <w:r w:rsidR="008F33BE" w:rsidRPr="00A62DD7">
        <w:rPr>
          <w:rFonts w:ascii="Times New Roman" w:hAnsi="Times New Roman" w:cs="Times New Roman"/>
          <w:b/>
          <w:sz w:val="24"/>
        </w:rPr>
        <w:t xml:space="preserve"> - </w:t>
      </w:r>
      <w:r w:rsidRPr="00A62DD7">
        <w:rPr>
          <w:rFonts w:ascii="Times New Roman" w:hAnsi="Times New Roman"/>
          <w:b/>
          <w:sz w:val="24"/>
          <w:lang w:val="en-US"/>
        </w:rPr>
        <w:t>Contribution to the travel costs</w:t>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2"/>
        <w:gridCol w:w="3081"/>
        <w:gridCol w:w="307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4E6A97B2"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2506FC">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1A65B0A0" w14:textId="22EF7BA3" w:rsidR="19A642FC" w:rsidRPr="00CD0DF5" w:rsidRDefault="00850120" w:rsidP="00CD0DF5">
      <w:pPr>
        <w:spacing w:after="0" w:line="240" w:lineRule="auto"/>
        <w:ind w:left="1134" w:hanging="1134"/>
        <w:rPr>
          <w:rFonts w:ascii="Times New Roman" w:eastAsia="Times New Roman" w:hAnsi="Times New Roman" w:cs="Times New Roman"/>
          <w:sz w:val="24"/>
          <w:szCs w:val="24"/>
        </w:rPr>
      </w:pPr>
      <w:r w:rsidRPr="00220FE0">
        <w:rPr>
          <w:rFonts w:ascii="Times New Roman" w:hAnsi="Times New Roman"/>
          <w:b/>
          <w:bCs/>
          <w:sz w:val="24"/>
          <w:szCs w:val="24"/>
        </w:rPr>
        <w:t>Nota bene:</w:t>
      </w:r>
      <w:r w:rsidR="00741B2E">
        <w:rPr>
          <w:rFonts w:ascii="Times New Roman" w:hAnsi="Times New Roman"/>
          <w:sz w:val="24"/>
          <w:szCs w:val="24"/>
        </w:rPr>
        <w:t xml:space="preserve"> T</w:t>
      </w:r>
      <w:r w:rsidRPr="00F465AA">
        <w:rPr>
          <w:rFonts w:ascii="Times New Roman" w:hAnsi="Times New Roman"/>
          <w:sz w:val="24"/>
          <w:szCs w:val="24"/>
        </w:rPr>
        <w:t>he travel distance represents a single way distance from the place of origin to the venue, whereas the amount covers the contribution to the return travel to and from the venue.</w:t>
      </w:r>
      <w:r w:rsidRPr="5B5A3068">
        <w:rPr>
          <w:rFonts w:ascii="Times New Roman" w:hAnsi="Times New Roman"/>
          <w:sz w:val="24"/>
          <w:szCs w:val="24"/>
        </w:rPr>
        <w:t xml:space="preserve"> </w:t>
      </w:r>
      <w:r w:rsidR="00CD0DF5">
        <w:rPr>
          <w:rFonts w:ascii="Times New Roman" w:hAnsi="Times New Roman"/>
          <w:sz w:val="24"/>
          <w:szCs w:val="24"/>
        </w:rPr>
        <w:t xml:space="preserve">For itinerant activites, the applicant should add up the distances between individual venues and choose the distance band corresponding to the total. </w:t>
      </w: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935"/>
        <w:gridCol w:w="2126"/>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9E3EDF2" w:rsidR="00452C0D" w:rsidRPr="0019773D" w:rsidRDefault="00E0229B" w:rsidP="00F30406">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5D8C6F71" w:rsidR="00452C0D" w:rsidRDefault="00E0229B" w:rsidP="00452C0D">
            <w:pPr>
              <w:jc w:val="center"/>
              <w:rPr>
                <w:rFonts w:ascii="Calibri" w:hAnsi="Calibri"/>
                <w:sz w:val="18"/>
              </w:rPr>
            </w:pPr>
            <w:r>
              <w:rPr>
                <w:rFonts w:ascii="Calibri" w:hAnsi="Calibri"/>
                <w:sz w:val="18"/>
              </w:rPr>
              <w:t>65</w:t>
            </w:r>
            <w:r w:rsidR="00452C0D">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830F9A9" w:rsidR="00452C0D" w:rsidRPr="0019773D" w:rsidRDefault="00E0229B" w:rsidP="00452C0D">
            <w:pPr>
              <w:jc w:val="center"/>
              <w:rPr>
                <w:rFonts w:ascii="Calibri" w:hAnsi="Calibri"/>
                <w:sz w:val="18"/>
                <w:szCs w:val="18"/>
              </w:rPr>
            </w:pPr>
            <w:r>
              <w:rPr>
                <w:rFonts w:ascii="Calibri" w:hAnsi="Calibri"/>
                <w:sz w:val="18"/>
              </w:rPr>
              <w:t>53</w:t>
            </w:r>
            <w:r w:rsidR="00452C0D">
              <w:rPr>
                <w:rFonts w:ascii="Calibri" w:hAnsi="Calibri"/>
                <w:sz w:val="18"/>
              </w:rPr>
              <w:t xml:space="preserve"> </w:t>
            </w:r>
            <w:r w:rsidR="00452C0D">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6B16AA8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22FB0E35" w:rsidR="00452C0D" w:rsidRPr="0019773D" w:rsidRDefault="00E0229B" w:rsidP="00452C0D">
            <w:pPr>
              <w:jc w:val="center"/>
              <w:rPr>
                <w:rFonts w:ascii="Calibri" w:hAnsi="Calibri"/>
                <w:sz w:val="18"/>
                <w:szCs w:val="18"/>
              </w:rPr>
            </w:pPr>
            <w:r>
              <w:rPr>
                <w:rFonts w:ascii="Calibri" w:hAnsi="Calibri"/>
                <w:sz w:val="18"/>
              </w:rPr>
              <w:t>72</w:t>
            </w:r>
            <w:r w:rsidR="00452C0D">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0A33D05A" w:rsidR="00452C0D" w:rsidRPr="0019773D" w:rsidRDefault="00E0229B" w:rsidP="00452C0D">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2FE7684E" w:rsidR="00452C0D" w:rsidRPr="0019773D" w:rsidRDefault="00E0229B" w:rsidP="00452C0D">
            <w:pPr>
              <w:jc w:val="center"/>
              <w:rPr>
                <w:rFonts w:ascii="Calibri" w:hAnsi="Calibri"/>
                <w:sz w:val="18"/>
                <w:szCs w:val="18"/>
              </w:rPr>
            </w:pPr>
            <w:r>
              <w:rPr>
                <w:rFonts w:ascii="Calibri" w:hAnsi="Calibri"/>
                <w:sz w:val="18"/>
                <w:szCs w:val="18"/>
              </w:rPr>
              <w:t>56</w:t>
            </w:r>
            <w:r w:rsidR="00452C0D">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1476C6B6" w:rsidR="00452C0D" w:rsidRPr="0019773D" w:rsidRDefault="00E0229B" w:rsidP="00452C0D">
            <w:pPr>
              <w:jc w:val="center"/>
              <w:rPr>
                <w:rFonts w:ascii="Calibri" w:hAnsi="Calibri"/>
                <w:sz w:val="18"/>
                <w:szCs w:val="18"/>
              </w:rPr>
            </w:pPr>
            <w:r>
              <w:rPr>
                <w:rFonts w:ascii="Calibri" w:hAnsi="Calibri"/>
                <w:sz w:val="18"/>
              </w:rPr>
              <w:t>74</w:t>
            </w:r>
            <w:r w:rsidR="00452C0D">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5D3694D"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05446B08" w:rsidR="00452C0D" w:rsidRPr="0019773D" w:rsidRDefault="00E0229B" w:rsidP="00452C0D">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726DBB8D"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4CB43E3E" w:rsidR="00452C0D" w:rsidRPr="0019773D" w:rsidRDefault="00E0229B" w:rsidP="00452C0D">
            <w:pPr>
              <w:jc w:val="center"/>
              <w:rPr>
                <w:rFonts w:ascii="Calibri" w:hAnsi="Calibri"/>
                <w:sz w:val="18"/>
                <w:szCs w:val="18"/>
              </w:rPr>
            </w:pPr>
            <w:r>
              <w:rPr>
                <w:rFonts w:ascii="Calibri" w:hAnsi="Calibri"/>
                <w:sz w:val="18"/>
                <w:szCs w:val="18"/>
              </w:rPr>
              <w:t>62</w:t>
            </w:r>
            <w:r w:rsidR="00452C0D">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4BDE03C2"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795A96C9" w:rsidR="00452C0D" w:rsidRPr="0019773D" w:rsidRDefault="00E0229B" w:rsidP="00E0229B">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7FDF471D"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64907A40" w:rsidR="00452C0D" w:rsidRPr="0019773D" w:rsidRDefault="00E0229B" w:rsidP="00452C0D">
            <w:pPr>
              <w:jc w:val="center"/>
              <w:rPr>
                <w:rFonts w:ascii="Calibri" w:hAnsi="Calibri"/>
                <w:sz w:val="18"/>
                <w:szCs w:val="18"/>
              </w:rPr>
            </w:pPr>
            <w:r>
              <w:rPr>
                <w:rFonts w:ascii="Calibri" w:hAnsi="Calibri"/>
                <w:sz w:val="18"/>
              </w:rPr>
              <w:t>58</w:t>
            </w:r>
            <w:r w:rsidR="00452C0D">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69BC4433"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0B1DE619" w:rsidR="00452C0D" w:rsidRPr="0019773D" w:rsidRDefault="00E0229B" w:rsidP="00452C0D">
            <w:pPr>
              <w:jc w:val="center"/>
              <w:rPr>
                <w:rFonts w:ascii="Calibri" w:hAnsi="Calibri"/>
                <w:sz w:val="18"/>
                <w:szCs w:val="18"/>
              </w:rPr>
            </w:pPr>
            <w:r>
              <w:rPr>
                <w:rFonts w:ascii="Calibri" w:hAnsi="Calibri"/>
                <w:sz w:val="18"/>
                <w:szCs w:val="18"/>
              </w:rPr>
              <w:t>55</w:t>
            </w:r>
            <w:r w:rsidR="00452C0D">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2610308"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23446F04" w:rsidR="00452C0D" w:rsidRPr="0019773D" w:rsidRDefault="00E0229B" w:rsidP="00452C0D">
            <w:pPr>
              <w:jc w:val="center"/>
              <w:rPr>
                <w:rFonts w:ascii="Calibri" w:hAnsi="Calibri"/>
                <w:sz w:val="18"/>
                <w:szCs w:val="18"/>
              </w:rPr>
            </w:pPr>
            <w:r>
              <w:rPr>
                <w:rFonts w:ascii="Calibri" w:hAnsi="Calibri"/>
                <w:sz w:val="18"/>
              </w:rPr>
              <w:t>69</w:t>
            </w:r>
            <w:r w:rsidR="00452C0D">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7302871A"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62812936"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35A068B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541A8F74" w:rsidR="00452C0D" w:rsidRPr="0019773D" w:rsidRDefault="00E0229B" w:rsidP="00452C0D">
            <w:pPr>
              <w:jc w:val="center"/>
              <w:rPr>
                <w:rFonts w:ascii="Calibri" w:hAnsi="Calibri"/>
                <w:sz w:val="18"/>
                <w:szCs w:val="18"/>
              </w:rPr>
            </w:pPr>
            <w:r>
              <w:rPr>
                <w:rFonts w:ascii="Calibri" w:hAnsi="Calibri"/>
                <w:sz w:val="18"/>
                <w:szCs w:val="18"/>
              </w:rPr>
              <w:t>60</w:t>
            </w:r>
            <w:r w:rsidR="00452C0D">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24B0FF50" w:rsidR="00452C0D" w:rsidRPr="0019773D" w:rsidRDefault="00E0229B" w:rsidP="00452C0D">
            <w:pPr>
              <w:jc w:val="center"/>
              <w:rPr>
                <w:rFonts w:ascii="Calibri" w:hAnsi="Calibri"/>
                <w:sz w:val="18"/>
                <w:szCs w:val="18"/>
              </w:rPr>
            </w:pPr>
            <w:r>
              <w:rPr>
                <w:rFonts w:ascii="Calibri" w:hAnsi="Calibri"/>
                <w:sz w:val="18"/>
              </w:rPr>
              <w:t>60</w:t>
            </w:r>
            <w:r w:rsidR="00452C0D">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1D3AD8B1"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2DF342AE" w:rsidR="00452C0D" w:rsidRPr="0019773D" w:rsidRDefault="00E0229B" w:rsidP="00452C0D">
            <w:pPr>
              <w:jc w:val="center"/>
              <w:rPr>
                <w:rFonts w:ascii="Calibri" w:hAnsi="Calibri"/>
                <w:sz w:val="18"/>
                <w:szCs w:val="18"/>
              </w:rPr>
            </w:pPr>
            <w:r>
              <w:rPr>
                <w:rFonts w:ascii="Calibri" w:hAnsi="Calibri"/>
                <w:sz w:val="18"/>
              </w:rPr>
              <w:t>70</w:t>
            </w:r>
            <w:r w:rsidR="00452C0D">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5866DD1A"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BED9CFB" w:rsidR="00452C0D" w:rsidRPr="0019773D" w:rsidRDefault="00E0229B" w:rsidP="00452C0D">
            <w:pPr>
              <w:jc w:val="center"/>
              <w:rPr>
                <w:rFonts w:ascii="Calibri" w:hAnsi="Calibri"/>
                <w:sz w:val="18"/>
                <w:szCs w:val="18"/>
              </w:rPr>
            </w:pPr>
            <w:r>
              <w:rPr>
                <w:rFonts w:ascii="Calibri" w:hAnsi="Calibri"/>
                <w:sz w:val="18"/>
                <w:szCs w:val="18"/>
              </w:rPr>
              <w:t>45</w:t>
            </w:r>
            <w:r w:rsidR="00452C0D">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3F2C9678" w:rsidR="00452C0D" w:rsidRPr="0019773D" w:rsidRDefault="00E0229B" w:rsidP="00452C0D">
            <w:pPr>
              <w:jc w:val="center"/>
              <w:rPr>
                <w:rFonts w:ascii="Calibri" w:hAnsi="Calibri"/>
                <w:sz w:val="18"/>
                <w:szCs w:val="18"/>
              </w:rPr>
            </w:pPr>
            <w:r>
              <w:rPr>
                <w:rFonts w:ascii="Calibri" w:hAnsi="Calibri"/>
                <w:sz w:val="18"/>
              </w:rPr>
              <w:t>71</w:t>
            </w:r>
            <w:r w:rsidR="00452C0D">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543F60CE"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455424EF"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08F94680"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027A4DC4" w:rsidR="00452C0D" w:rsidRPr="0019773D" w:rsidRDefault="00E0229B" w:rsidP="00452C0D">
            <w:pPr>
              <w:jc w:val="center"/>
              <w:rPr>
                <w:rFonts w:ascii="Calibri" w:hAnsi="Calibri"/>
                <w:sz w:val="18"/>
                <w:szCs w:val="18"/>
              </w:rPr>
            </w:pPr>
            <w:r>
              <w:rPr>
                <w:rFonts w:ascii="Calibri" w:hAnsi="Calibri"/>
                <w:sz w:val="18"/>
              </w:rPr>
              <w:t xml:space="preserve">45 </w:t>
            </w:r>
            <w:r w:rsidR="00452C0D">
              <w:rPr>
                <w:rFonts w:ascii="Calibri" w:hAnsi="Calibri"/>
                <w:sz w:val="18"/>
                <w:szCs w:val="18"/>
              </w:rPr>
              <w:t>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2B2E5647" w:rsidR="00452C0D" w:rsidRDefault="00452C0D" w:rsidP="002506FC">
            <w:pPr>
              <w:autoSpaceDE w:val="0"/>
              <w:adjustRightInd w:val="0"/>
              <w:jc w:val="center"/>
              <w:rPr>
                <w:rFonts w:ascii="Calibri" w:hAnsi="Calibri"/>
                <w:b/>
                <w:bCs/>
                <w:sz w:val="18"/>
                <w:szCs w:val="18"/>
              </w:rPr>
            </w:pPr>
            <w:r>
              <w:rPr>
                <w:rFonts w:ascii="Calibri" w:hAnsi="Calibri"/>
                <w:b/>
                <w:bCs/>
                <w:sz w:val="18"/>
                <w:szCs w:val="18"/>
              </w:rPr>
              <w:t xml:space="preserve">Neighbouring </w:t>
            </w:r>
            <w:r w:rsidR="002506FC">
              <w:rPr>
                <w:rFonts w:ascii="Calibri" w:hAnsi="Calibri"/>
                <w:b/>
                <w:bCs/>
                <w:sz w:val="18"/>
                <w:szCs w:val="18"/>
              </w:rPr>
              <w:t>third countries not associated to the Programme</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41296CAF" w:rsidR="00452C0D" w:rsidRPr="0019773D" w:rsidRDefault="00E0229B" w:rsidP="00452C0D">
            <w:pPr>
              <w:jc w:val="center"/>
              <w:rPr>
                <w:rFonts w:ascii="Calibri" w:hAnsi="Calibri"/>
                <w:sz w:val="18"/>
              </w:rPr>
            </w:pPr>
            <w:r>
              <w:rPr>
                <w:rFonts w:ascii="Calibri" w:hAnsi="Calibri"/>
                <w:sz w:val="18"/>
              </w:rPr>
              <w:t>48</w:t>
            </w:r>
            <w:r w:rsidR="00452C0D">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7028CD1B" w:rsidR="009249FA" w:rsidRDefault="00A62DD7" w:rsidP="00A62DD7">
      <w:pPr>
        <w:spacing w:after="0" w:line="240" w:lineRule="auto"/>
        <w:jc w:val="both"/>
        <w:rPr>
          <w:rFonts w:ascii="Times New Roman" w:hAnsi="Times New Roman"/>
          <w:sz w:val="24"/>
          <w:szCs w:val="24"/>
        </w:rPr>
      </w:pPr>
      <w:r w:rsidRPr="00A62DD7">
        <w:rPr>
          <w:rFonts w:ascii="Times New Roman" w:hAnsi="Times New Roman"/>
          <w:b/>
          <w:sz w:val="24"/>
          <w:szCs w:val="24"/>
        </w:rPr>
        <w:t>Nota bene:</w:t>
      </w:r>
      <w:r>
        <w:rPr>
          <w:rFonts w:ascii="Times New Roman" w:hAnsi="Times New Roman"/>
          <w:sz w:val="24"/>
          <w:szCs w:val="24"/>
        </w:rPr>
        <w:t xml:space="preserve"> </w:t>
      </w:r>
      <w:r w:rsidR="00481E00" w:rsidRPr="00481E00">
        <w:rPr>
          <w:rFonts w:ascii="Times New Roman" w:hAnsi="Times New Roman"/>
          <w:sz w:val="24"/>
          <w:szCs w:val="24"/>
        </w:rPr>
        <w:t xml:space="preserve">Maximum </w:t>
      </w:r>
      <w:r w:rsidR="00481E00" w:rsidRPr="00A62DD7">
        <w:rPr>
          <w:rFonts w:ascii="Times New Roman" w:hAnsi="Times New Roman"/>
          <w:b/>
          <w:sz w:val="24"/>
          <w:szCs w:val="24"/>
        </w:rPr>
        <w:t>1.100 EUR</w:t>
      </w:r>
      <w:r w:rsidR="00481E00" w:rsidRPr="00481E00">
        <w:rPr>
          <w:rFonts w:ascii="Times New Roman" w:hAnsi="Times New Roman"/>
          <w:sz w:val="24"/>
          <w:szCs w:val="24"/>
        </w:rPr>
        <w:t xml:space="preserve"> per participant (including trainers, facilitators and accompanying </w:t>
      </w:r>
      <w:r w:rsidR="00481E00">
        <w:rPr>
          <w:rFonts w:ascii="Times New Roman" w:hAnsi="Times New Roman"/>
          <w:sz w:val="24"/>
          <w:szCs w:val="24"/>
        </w:rPr>
        <w:t>p</w:t>
      </w:r>
      <w:r w:rsidR="00481E00" w:rsidRPr="00481E00">
        <w:rPr>
          <w:rFonts w:ascii="Times New Roman" w:hAnsi="Times New Roman"/>
          <w:sz w:val="24"/>
          <w:szCs w:val="24"/>
        </w:rPr>
        <w:t>ersons)</w:t>
      </w:r>
      <w:r w:rsidR="00481E00">
        <w:rPr>
          <w:rFonts w:ascii="Times New Roman" w:hAnsi="Times New Roman"/>
          <w:sz w:val="24"/>
          <w:szCs w:val="24"/>
        </w:rPr>
        <w:t>.</w:t>
      </w:r>
      <w:r>
        <w:rPr>
          <w:rFonts w:ascii="Times New Roman" w:hAnsi="Times New Roman"/>
          <w:sz w:val="24"/>
          <w:szCs w:val="24"/>
        </w:rPr>
        <w:t xml:space="preserve"> B</w:t>
      </w:r>
      <w:r w:rsidRPr="00A62DD7">
        <w:rPr>
          <w:rFonts w:ascii="Times New Roman" w:hAnsi="Times New Roman"/>
          <w:sz w:val="24"/>
          <w:szCs w:val="24"/>
        </w:rPr>
        <w:t>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A62DD7">
        <w:rPr>
          <w:rFonts w:ascii="Times New Roman" w:hAnsi="Times New Roman"/>
          <w:sz w:val="24"/>
          <w:szCs w:val="24"/>
        </w:rPr>
        <w:cr/>
      </w:r>
    </w:p>
    <w:p w14:paraId="68516FCE" w14:textId="2FCB8347" w:rsidR="00567257" w:rsidRDefault="00567257" w:rsidP="00A62DD7">
      <w:pPr>
        <w:spacing w:after="0" w:line="240" w:lineRule="auto"/>
        <w:jc w:val="both"/>
        <w:rPr>
          <w:rFonts w:ascii="Times New Roman" w:hAnsi="Times New Roman"/>
          <w:sz w:val="24"/>
          <w:szCs w:val="24"/>
        </w:rPr>
      </w:pPr>
    </w:p>
    <w:p w14:paraId="2D7805B9" w14:textId="7DE8AA43" w:rsidR="00567257" w:rsidRDefault="00567257" w:rsidP="00A62DD7">
      <w:pPr>
        <w:spacing w:after="0" w:line="240" w:lineRule="auto"/>
        <w:jc w:val="both"/>
        <w:rPr>
          <w:rFonts w:ascii="Times New Roman" w:hAnsi="Times New Roman"/>
          <w:sz w:val="24"/>
          <w:szCs w:val="24"/>
        </w:rPr>
      </w:pPr>
    </w:p>
    <w:p w14:paraId="61D8D861" w14:textId="77777777" w:rsidR="00567257" w:rsidRDefault="00567257" w:rsidP="00A62DD7">
      <w:pPr>
        <w:spacing w:after="0" w:line="240" w:lineRule="auto"/>
        <w:jc w:val="both"/>
        <w:rPr>
          <w:rFonts w:ascii="Times New Roman" w:hAnsi="Times New Roman"/>
          <w:sz w:val="24"/>
          <w:szCs w:val="24"/>
        </w:rPr>
      </w:pPr>
    </w:p>
    <w:p w14:paraId="6000C24C" w14:textId="04585030" w:rsidR="00850120" w:rsidRPr="00A62DD7" w:rsidRDefault="009249FA" w:rsidP="00B02312">
      <w:pPr>
        <w:spacing w:after="0" w:line="240" w:lineRule="auto"/>
        <w:rPr>
          <w:rFonts w:ascii="Times New Roman" w:hAnsi="Times New Roman" w:cs="Times New Roman"/>
          <w:b/>
          <w:sz w:val="24"/>
        </w:rPr>
      </w:pPr>
      <w:r w:rsidRPr="00A62DD7">
        <w:rPr>
          <w:rFonts w:ascii="Times New Roman" w:hAnsi="Times New Roman" w:cs="Times New Roman"/>
          <w:b/>
          <w:sz w:val="24"/>
        </w:rPr>
        <w:lastRenderedPageBreak/>
        <w:t>3</w:t>
      </w:r>
      <w:r w:rsidR="00850120" w:rsidRPr="00A62DD7">
        <w:rPr>
          <w:rFonts w:ascii="Times New Roman" w:hAnsi="Times New Roman" w:cs="Times New Roman"/>
          <w:b/>
          <w:sz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50BF385E" w:rsidR="009249FA" w:rsidRDefault="009249FA" w:rsidP="00741B2E">
      <w:pPr>
        <w:spacing w:after="0" w:line="240" w:lineRule="auto"/>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 xml:space="preserve">per participant in a </w:t>
      </w:r>
      <w:r w:rsidR="00481E00">
        <w:rPr>
          <w:rFonts w:ascii="Times New Roman" w:hAnsi="Times New Roman"/>
          <w:sz w:val="24"/>
          <w:szCs w:val="24"/>
        </w:rPr>
        <w:t>Professional Development Activity</w:t>
      </w:r>
      <w:r w:rsidR="00741B2E">
        <w:rPr>
          <w:rFonts w:ascii="Times New Roman" w:hAnsi="Times New Roman"/>
          <w:sz w:val="24"/>
          <w:szCs w:val="24"/>
        </w:rPr>
        <w:t xml:space="preserve">, </w:t>
      </w:r>
      <w:r w:rsidR="00741B2E" w:rsidRPr="00741B2E">
        <w:rPr>
          <w:rFonts w:ascii="Times New Roman" w:hAnsi="Times New Roman"/>
          <w:sz w:val="24"/>
          <w:szCs w:val="24"/>
        </w:rPr>
        <w:t>excluding accompanying persons, trainers</w:t>
      </w:r>
      <w:r w:rsidR="00741B2E">
        <w:rPr>
          <w:rFonts w:ascii="Times New Roman" w:hAnsi="Times New Roman"/>
          <w:sz w:val="24"/>
          <w:szCs w:val="24"/>
        </w:rPr>
        <w:t xml:space="preserve"> </w:t>
      </w:r>
      <w:r w:rsidR="00741B2E" w:rsidRPr="00741B2E">
        <w:rPr>
          <w:rFonts w:ascii="Times New Roman" w:hAnsi="Times New Roman"/>
          <w:sz w:val="24"/>
          <w:szCs w:val="24"/>
        </w:rPr>
        <w:t>and facilitators</w:t>
      </w:r>
      <w:r w:rsidR="00741B2E">
        <w:rPr>
          <w:rFonts w:ascii="Times New Roman" w:hAnsi="Times New Roman"/>
          <w:sz w:val="24"/>
          <w:szCs w:val="24"/>
        </w:rPr>
        <w:t>.</w:t>
      </w:r>
    </w:p>
    <w:p w14:paraId="6D2F354B" w14:textId="430EE485" w:rsidR="009249FA" w:rsidRDefault="009249FA" w:rsidP="000D7CB9">
      <w:pPr>
        <w:spacing w:after="0" w:line="240" w:lineRule="auto"/>
        <w:rPr>
          <w:rFonts w:ascii="Times New Roman" w:hAnsi="Times New Roman" w:cs="Times New Roman"/>
        </w:rPr>
      </w:pPr>
    </w:p>
    <w:p w14:paraId="136BAAD2" w14:textId="7D61794B"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t>4. Inclusion support</w:t>
      </w:r>
      <w:r w:rsidR="002506FC">
        <w:rPr>
          <w:rFonts w:ascii="Times New Roman" w:hAnsi="Times New Roman"/>
          <w:b/>
          <w:sz w:val="24"/>
          <w:szCs w:val="24"/>
        </w:rPr>
        <w:t xml:space="preserve"> for organisations</w:t>
      </w:r>
    </w:p>
    <w:p w14:paraId="2484F2A3" w14:textId="77777777" w:rsidR="009249FA" w:rsidRDefault="009249FA" w:rsidP="009249FA">
      <w:pPr>
        <w:spacing w:after="0" w:line="240" w:lineRule="auto"/>
        <w:rPr>
          <w:rFonts w:ascii="Times New Roman" w:hAnsi="Times New Roman"/>
          <w:sz w:val="24"/>
          <w:szCs w:val="24"/>
        </w:rPr>
      </w:pPr>
    </w:p>
    <w:p w14:paraId="1B5D2179" w14:textId="69B6A0DE" w:rsidR="009249FA" w:rsidRDefault="009249FA" w:rsidP="00A62DD7">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w:t>
      </w:r>
      <w:r>
        <w:rPr>
          <w:rFonts w:ascii="Times New Roman" w:hAnsi="Times New Roman"/>
          <w:sz w:val="24"/>
          <w:szCs w:val="24"/>
        </w:rPr>
        <w:t>for costs related to the organisation of mobility activities for partic</w:t>
      </w:r>
      <w:r w:rsidR="00A62DD7">
        <w:rPr>
          <w:rFonts w:ascii="Times New Roman" w:hAnsi="Times New Roman"/>
          <w:sz w:val="24"/>
          <w:szCs w:val="24"/>
        </w:rPr>
        <w:t xml:space="preserve">ipants with fewer opportunities, </w:t>
      </w:r>
      <w:r w:rsidR="00A62DD7" w:rsidRPr="00A62DD7">
        <w:rPr>
          <w:rFonts w:ascii="Times New Roman" w:hAnsi="Times New Roman"/>
          <w:sz w:val="24"/>
          <w:szCs w:val="24"/>
        </w:rPr>
        <w:t>excluding accompanying persons, trainers and facilitators.</w:t>
      </w:r>
    </w:p>
    <w:p w14:paraId="2D6193B1" w14:textId="4CCEC7CD" w:rsidR="009249FA" w:rsidRDefault="009249FA"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76F01FAE" w14:textId="59147C2D" w:rsidR="71E3466B" w:rsidRPr="00CD0DF5" w:rsidRDefault="009249FA" w:rsidP="00CD0DF5">
      <w:pPr>
        <w:spacing w:after="0" w:line="240" w:lineRule="auto"/>
        <w:jc w:val="both"/>
        <w:rPr>
          <w:rFonts w:ascii="Times New Roman" w:hAnsi="Times New Roman" w:cs="Times New Roman"/>
        </w:rPr>
      </w:pPr>
      <w:r w:rsidRPr="00220FE0">
        <w:rPr>
          <w:rFonts w:ascii="Times New Roman" w:hAnsi="Times New Roman"/>
          <w:b/>
          <w:bCs/>
          <w:sz w:val="24"/>
          <w:szCs w:val="24"/>
        </w:rPr>
        <w:t>575 EUR</w:t>
      </w:r>
      <w:r>
        <w:rPr>
          <w:rFonts w:ascii="Times New Roman" w:hAnsi="Times New Roman"/>
          <w:sz w:val="24"/>
          <w:szCs w:val="24"/>
        </w:rPr>
        <w:t xml:space="preserve"> per participant</w:t>
      </w:r>
      <w:r w:rsidR="00AA6974">
        <w:rPr>
          <w:rFonts w:ascii="Times New Roman" w:hAnsi="Times New Roman"/>
          <w:sz w:val="24"/>
          <w:szCs w:val="24"/>
        </w:rPr>
        <w:t xml:space="preserve"> per preparatory visit</w:t>
      </w:r>
      <w:r>
        <w:rPr>
          <w:rFonts w:ascii="Times New Roman" w:hAnsi="Times New Roman"/>
          <w:sz w:val="24"/>
          <w:szCs w:val="24"/>
        </w:rPr>
        <w:t xml:space="preserve">, </w:t>
      </w:r>
      <w:r w:rsidR="00747939" w:rsidRPr="00747939">
        <w:rPr>
          <w:rFonts w:ascii="Times New Roman" w:hAnsi="Times New Roman"/>
          <w:sz w:val="24"/>
          <w:szCs w:val="24"/>
        </w:rPr>
        <w:t xml:space="preserve">excluding participants from the receiving organisation. A maximum of </w:t>
      </w:r>
      <w:r w:rsidR="002506FC">
        <w:rPr>
          <w:rFonts w:ascii="Times New Roman" w:hAnsi="Times New Roman"/>
          <w:sz w:val="24"/>
          <w:szCs w:val="24"/>
        </w:rPr>
        <w:t>2</w:t>
      </w:r>
      <w:r w:rsidR="002506FC" w:rsidRPr="00747939">
        <w:rPr>
          <w:rFonts w:ascii="Times New Roman" w:hAnsi="Times New Roman"/>
          <w:sz w:val="24"/>
          <w:szCs w:val="24"/>
        </w:rPr>
        <w:t xml:space="preserve"> </w:t>
      </w:r>
      <w:r w:rsidR="00747939" w:rsidRPr="00747939">
        <w:rPr>
          <w:rFonts w:ascii="Times New Roman" w:hAnsi="Times New Roman"/>
          <w:sz w:val="24"/>
          <w:szCs w:val="24"/>
        </w:rPr>
        <w:t>participant per participating organisation can be funded per activity</w:t>
      </w:r>
      <w:r w:rsidR="00747939" w:rsidRPr="00CD0DF5">
        <w:rPr>
          <w:rFonts w:ascii="Times New Roman" w:hAnsi="Times New Roman"/>
          <w:sz w:val="24"/>
          <w:szCs w:val="24"/>
        </w:rPr>
        <w:t>.</w:t>
      </w:r>
      <w:r w:rsidR="00747939" w:rsidRPr="00CD0DF5">
        <w:rPr>
          <w:rFonts w:ascii="Times New Roman" w:hAnsi="Times New Roman" w:cs="Times New Roman"/>
          <w:sz w:val="24"/>
          <w:szCs w:val="24"/>
        </w:rPr>
        <w:t xml:space="preserve"> </w:t>
      </w:r>
      <w:r w:rsidR="71E3466B" w:rsidRPr="00CD0DF5">
        <w:rPr>
          <w:rFonts w:ascii="Times New Roman" w:eastAsia="Times New Roman" w:hAnsi="Times New Roman" w:cs="Times New Roman"/>
          <w:sz w:val="24"/>
          <w:szCs w:val="24"/>
        </w:rPr>
        <w:t>In addition, one facilitator per preparatory visit can also be funded.</w:t>
      </w: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220FE0">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58225" w14:textId="77777777" w:rsidR="00452C0D" w:rsidRDefault="00452C0D" w:rsidP="00452C0D">
      <w:pPr>
        <w:spacing w:after="0" w:line="240" w:lineRule="auto"/>
      </w:pPr>
      <w:r>
        <w:separator/>
      </w:r>
    </w:p>
  </w:endnote>
  <w:endnote w:type="continuationSeparator" w:id="0">
    <w:p w14:paraId="7CAE72BB" w14:textId="77777777" w:rsidR="00452C0D" w:rsidRDefault="00452C0D"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EDD7" w14:textId="77777777" w:rsidR="00452C0D" w:rsidRDefault="0045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AEAA" w14:textId="77777777" w:rsidR="00452C0D" w:rsidRDefault="00452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7796" w14:textId="77777777" w:rsidR="00452C0D" w:rsidRDefault="0045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7913" w14:textId="77777777" w:rsidR="00452C0D" w:rsidRDefault="00452C0D" w:rsidP="00452C0D">
      <w:pPr>
        <w:spacing w:after="0" w:line="240" w:lineRule="auto"/>
      </w:pPr>
      <w:r>
        <w:separator/>
      </w:r>
    </w:p>
  </w:footnote>
  <w:footnote w:type="continuationSeparator" w:id="0">
    <w:p w14:paraId="4DF87288" w14:textId="77777777" w:rsidR="00452C0D" w:rsidRDefault="00452C0D"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7F2B" w14:textId="77777777" w:rsidR="00452C0D" w:rsidRDefault="0045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5033" w14:textId="77777777" w:rsidR="00452C0D" w:rsidRDefault="0045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C051" w14:textId="77777777" w:rsidR="00452C0D" w:rsidRDefault="0045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BC"/>
    <w:rsid w:val="00026B74"/>
    <w:rsid w:val="000842AC"/>
    <w:rsid w:val="000D7CB9"/>
    <w:rsid w:val="0015762C"/>
    <w:rsid w:val="001B35B7"/>
    <w:rsid w:val="00220FE0"/>
    <w:rsid w:val="002506FC"/>
    <w:rsid w:val="002A01A5"/>
    <w:rsid w:val="002A74EB"/>
    <w:rsid w:val="003D093C"/>
    <w:rsid w:val="003E3FCC"/>
    <w:rsid w:val="00430D12"/>
    <w:rsid w:val="00432AFD"/>
    <w:rsid w:val="00452C0D"/>
    <w:rsid w:val="00481E00"/>
    <w:rsid w:val="004C6A6D"/>
    <w:rsid w:val="005301AC"/>
    <w:rsid w:val="00567257"/>
    <w:rsid w:val="005718C6"/>
    <w:rsid w:val="005E44F7"/>
    <w:rsid w:val="006838D6"/>
    <w:rsid w:val="006D1AF1"/>
    <w:rsid w:val="006D3E47"/>
    <w:rsid w:val="006E0688"/>
    <w:rsid w:val="0072048B"/>
    <w:rsid w:val="00741B2E"/>
    <w:rsid w:val="007443FC"/>
    <w:rsid w:val="00747939"/>
    <w:rsid w:val="0077530B"/>
    <w:rsid w:val="00780FC0"/>
    <w:rsid w:val="0081587F"/>
    <w:rsid w:val="00850120"/>
    <w:rsid w:val="00866095"/>
    <w:rsid w:val="008E179D"/>
    <w:rsid w:val="008F33BE"/>
    <w:rsid w:val="009249FA"/>
    <w:rsid w:val="00970744"/>
    <w:rsid w:val="009723B4"/>
    <w:rsid w:val="00997EB1"/>
    <w:rsid w:val="009A01BC"/>
    <w:rsid w:val="009D6416"/>
    <w:rsid w:val="009F1623"/>
    <w:rsid w:val="00A22E46"/>
    <w:rsid w:val="00A62DD7"/>
    <w:rsid w:val="00A91261"/>
    <w:rsid w:val="00AA6974"/>
    <w:rsid w:val="00AC6EA8"/>
    <w:rsid w:val="00B02312"/>
    <w:rsid w:val="00B716A6"/>
    <w:rsid w:val="00BC496D"/>
    <w:rsid w:val="00C37777"/>
    <w:rsid w:val="00C96BCB"/>
    <w:rsid w:val="00CD0DF5"/>
    <w:rsid w:val="00D16EFE"/>
    <w:rsid w:val="00D60AE3"/>
    <w:rsid w:val="00D641D9"/>
    <w:rsid w:val="00DE37ED"/>
    <w:rsid w:val="00DE439A"/>
    <w:rsid w:val="00E0229B"/>
    <w:rsid w:val="00E03C00"/>
    <w:rsid w:val="00F465AA"/>
    <w:rsid w:val="00F703C1"/>
    <w:rsid w:val="00FF4D5D"/>
    <w:rsid w:val="12ECE085"/>
    <w:rsid w:val="19A642FC"/>
    <w:rsid w:val="3568629D"/>
    <w:rsid w:val="54922C6D"/>
    <w:rsid w:val="5B5A3068"/>
    <w:rsid w:val="71E3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1B35B7"/>
    <w:pPr>
      <w:spacing w:after="0" w:line="240" w:lineRule="auto"/>
      <w:ind w:left="720"/>
    </w:pPr>
    <w:rPr>
      <w:rFonts w:ascii="Calibri" w:eastAsia="SimSun" w:hAnsi="Calibri" w:cs="Calibri"/>
    </w:rPr>
  </w:style>
  <w:style w:type="paragraph" w:styleId="Header">
    <w:name w:val="header"/>
    <w:basedOn w:val="Normal"/>
    <w:link w:val="HeaderChar"/>
    <w:uiPriority w:val="99"/>
    <w:unhideWhenUsed/>
    <w:rsid w:val="00452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C0D"/>
  </w:style>
  <w:style w:type="paragraph" w:styleId="Footer">
    <w:name w:val="footer"/>
    <w:basedOn w:val="Normal"/>
    <w:link w:val="FooterChar"/>
    <w:uiPriority w:val="99"/>
    <w:unhideWhenUsed/>
    <w:rsid w:val="00452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Props1.xml><?xml version="1.0" encoding="utf-8"?>
<ds:datastoreItem xmlns:ds="http://schemas.openxmlformats.org/officeDocument/2006/customXml" ds:itemID="{DEA867BC-9DDC-4740-8101-51FB0EBC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3.xml><?xml version="1.0" encoding="utf-8"?>
<ds:datastoreItem xmlns:ds="http://schemas.openxmlformats.org/officeDocument/2006/customXml" ds:itemID="{930A5073-BEF6-4DE9-8DF5-92594A5A019B}">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SAMRAY Christophe (ECHO)</cp:lastModifiedBy>
  <cp:revision>4</cp:revision>
  <cp:lastPrinted>2016-04-13T08:12:00Z</cp:lastPrinted>
  <dcterms:created xsi:type="dcterms:W3CDTF">2022-02-21T16:30:00Z</dcterms:created>
  <dcterms:modified xsi:type="dcterms:W3CDTF">2022-05-02T06:07:00Z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